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Calibri" w:hAnsi="Calibri"/>
          <w:b/>
          <w:i w:val="0"/>
          <w:color w:val="24344C"/>
          <w:sz w:val="36"/>
        </w:rPr>
        <w:t>F&amp;B Pest Sighting Log</w:t>
      </w:r>
    </w:p>
    <w:p>
      <w:pPr>
        <w:spacing w:before="0" w:after="140"/>
      </w:pPr>
      <w:r>
        <w:rPr>
          <w:rFonts w:ascii="Calibri" w:hAnsi="Calibri"/>
          <w:b/>
          <w:i w:val="0"/>
          <w:color w:val="4A5565"/>
          <w:sz w:val="19"/>
        </w:rPr>
        <w:t>For Singapore food premises | Free operational template by KleanSG</w:t>
      </w:r>
    </w:p>
    <w:p>
      <w:pPr>
        <w:spacing w:before="0" w:after="60" w:line="240" w:lineRule="auto"/>
      </w:pPr>
      <w:r>
        <w:rPr>
          <w:rFonts w:ascii="Calibri" w:hAnsi="Calibri"/>
          <w:b/>
          <w:i w:val="0"/>
          <w:color w:val="24344C"/>
          <w:sz w:val="17"/>
        </w:rPr>
        <w:t xml:space="preserve">Outlet / premises: </w:t>
      </w:r>
      <w:r>
        <w:rPr>
          <w:rFonts w:ascii="Calibri" w:hAnsi="Calibri"/>
          <w:b w:val="0"/>
          <w:i w:val="0"/>
          <w:color w:val="4A5565"/>
          <w:sz w:val="17"/>
        </w:rPr>
        <w:t>____________________________________________________________</w:t>
      </w:r>
      <w:r>
        <w:rPr>
          <w:rFonts w:ascii="Calibri" w:hAnsi="Calibri"/>
          <w:b w:val="0"/>
          <w:i w:val="0"/>
          <w:color w:val="1C2430"/>
          <w:sz w:val="17"/>
        </w:rPr>
        <w:t xml:space="preserve">     </w:t>
      </w:r>
      <w:r>
        <w:rPr>
          <w:rFonts w:ascii="Calibri" w:hAnsi="Calibri"/>
          <w:b/>
          <w:i w:val="0"/>
          <w:color w:val="24344C"/>
          <w:sz w:val="17"/>
        </w:rPr>
        <w:t xml:space="preserve">Reporting period: </w:t>
      </w:r>
      <w:r>
        <w:rPr>
          <w:rFonts w:ascii="Calibri" w:hAnsi="Calibri"/>
          <w:b w:val="0"/>
          <w:i w:val="0"/>
          <w:color w:val="4A5565"/>
          <w:sz w:val="17"/>
        </w:rPr>
        <w:t>___________________________</w:t>
      </w:r>
    </w:p>
    <w:p>
      <w:pPr>
        <w:spacing w:before="0" w:after="60" w:line="240" w:lineRule="auto"/>
      </w:pPr>
      <w:r>
        <w:rPr>
          <w:rFonts w:ascii="Calibri" w:hAnsi="Calibri"/>
          <w:b/>
          <w:i w:val="0"/>
          <w:color w:val="24344C"/>
          <w:sz w:val="17"/>
        </w:rPr>
        <w:t xml:space="preserve">Address / unit: </w:t>
      </w:r>
      <w:r>
        <w:rPr>
          <w:rFonts w:ascii="Calibri" w:hAnsi="Calibri"/>
          <w:b w:val="0"/>
          <w:i w:val="0"/>
          <w:color w:val="4A5565"/>
          <w:sz w:val="17"/>
        </w:rPr>
        <w:t>________________________________________________________________</w:t>
      </w:r>
      <w:r>
        <w:rPr>
          <w:rFonts w:ascii="Calibri" w:hAnsi="Calibri"/>
          <w:b w:val="0"/>
          <w:i w:val="0"/>
          <w:color w:val="1C2430"/>
          <w:sz w:val="17"/>
        </w:rPr>
        <w:t xml:space="preserve">     </w:t>
      </w:r>
      <w:r>
        <w:rPr>
          <w:rFonts w:ascii="Calibri" w:hAnsi="Calibri"/>
          <w:b/>
          <w:i w:val="0"/>
          <w:color w:val="24344C"/>
          <w:sz w:val="17"/>
        </w:rPr>
        <w:t xml:space="preserve">Log owner / reviewer: </w:t>
      </w:r>
      <w:r>
        <w:rPr>
          <w:rFonts w:ascii="Calibri" w:hAnsi="Calibri"/>
          <w:b w:val="0"/>
          <w:i w:val="0"/>
          <w:color w:val="4A5565"/>
          <w:sz w:val="17"/>
        </w:rPr>
        <w:t>________________________</w:t>
      </w:r>
    </w:p>
    <w:p>
      <w:pPr>
        <w:shd w:fill="F5F7FA"/>
        <w:spacing w:before="60" w:after="60" w:line="240" w:lineRule="auto"/>
        <w:ind w:left="120" w:right="120"/>
      </w:pPr>
      <w:r>
        <w:rPr>
          <w:rFonts w:ascii="Calibri" w:hAnsi="Calibri"/>
          <w:b w:val="0"/>
          <w:i w:val="0"/>
          <w:color w:val="4A5565"/>
          <w:sz w:val="17"/>
        </w:rPr>
        <w:t>Record any live pest, suspected pest sign or unexplained activity as soon as it is observed. Describe what you saw without guessing the species. Protect food, follow your outlet escalation procedure, and use the same reference number on page 2 until the action is verified and closed.</w:t>
      </w:r>
    </w:p>
    <w:p>
      <w:pPr>
        <w:spacing w:before="100" w:after="80" w:line="240" w:lineRule="auto"/>
      </w:pPr>
      <w:r>
        <w:rPr>
          <w:rFonts w:ascii="Calibri" w:hAnsi="Calibri"/>
          <w:b w:val="0"/>
          <w:i/>
          <w:color w:val="4A5565"/>
          <w:sz w:val="16"/>
        </w:rPr>
        <w:t>PAGE 1 - SIGHTING AND IMMEDIATE RESPONSE</w:t>
      </w:r>
    </w:p>
    <w:tbl>
      <w:tblPr>
        <w:tblStyle w:val="TableGrid"/>
        <w:tblW w:type="dxa" w:w="15590"/>
        <w:jc w:val="left"/>
        <w:tblLayout w:type="fixed"/>
        <w:tblLook w:firstColumn="1" w:firstRow="1" w:lastColumn="0" w:lastRow="0" w:noHBand="0" w:noVBand="1" w:val="04A0"/>
        <w:tblInd w:w="0" w:type="dxa"/>
      </w:tblPr>
      <w:tblGrid>
        <w:gridCol w:w="650"/>
        <w:gridCol w:w="1000"/>
        <w:gridCol w:w="850"/>
        <w:gridCol w:w="2300"/>
        <w:gridCol w:w="2300"/>
        <w:gridCol w:w="1400"/>
        <w:gridCol w:w="2400"/>
        <w:gridCol w:w="2800"/>
        <w:gridCol w:w="1890"/>
      </w:tblGrid>
      <w:tr>
        <w:trPr>
          <w:trHeight w:val="600" w:hRule="atLeast"/>
          <w:tblHeader w:val="true"/>
        </w:trPr>
        <w:tc>
          <w:tcPr>
            <w:tcW w:type="dxa" w:w="65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Ref</w:t>
            </w:r>
          </w:p>
        </w:tc>
        <w:tc>
          <w:tcPr>
            <w:tcW w:type="dxa" w:w="100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Date</w:t>
            </w:r>
          </w:p>
        </w:tc>
        <w:tc>
          <w:tcPr>
            <w:tcW w:type="dxa" w:w="85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Time</w:t>
            </w:r>
          </w:p>
        </w:tc>
        <w:tc>
          <w:tcPr>
            <w:tcW w:type="dxa" w:w="230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Pest or sign observed</w:t>
            </w:r>
          </w:p>
        </w:tc>
        <w:tc>
          <w:tcPr>
            <w:tcW w:type="dxa" w:w="230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Exact zone / equipment</w:t>
            </w:r>
          </w:p>
        </w:tc>
        <w:tc>
          <w:tcPr>
            <w:tcW w:type="dxa" w:w="140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Number / extent</w:t>
            </w:r>
          </w:p>
        </w:tc>
        <w:tc>
          <w:tcPr>
            <w:tcW w:type="dxa" w:w="240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Nearby condition</w:t>
            </w:r>
          </w:p>
        </w:tc>
        <w:tc>
          <w:tcPr>
            <w:tcW w:type="dxa" w:w="280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Immediate action taken</w:t>
            </w:r>
          </w:p>
        </w:tc>
        <w:tc>
          <w:tcPr>
            <w:tcW w:type="dxa" w:w="189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Person notified / time</w:t>
            </w:r>
          </w:p>
        </w:tc>
      </w:tr>
      <w:tr>
        <w:trPr>
          <w:trHeight w:val="980" w:hRule="atLeast"/>
        </w:trPr>
        <w:tc>
          <w:tcPr>
            <w:tcW w:type="dxa" w:w="6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0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8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3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3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4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4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8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89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r>
      <w:tr>
        <w:trPr>
          <w:trHeight w:val="980" w:hRule="atLeast"/>
        </w:trPr>
        <w:tc>
          <w:tcPr>
            <w:tcW w:type="dxa" w:w="6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0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8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23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23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4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24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28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89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r>
      <w:tr>
        <w:trPr>
          <w:trHeight w:val="980" w:hRule="atLeast"/>
        </w:trPr>
        <w:tc>
          <w:tcPr>
            <w:tcW w:type="dxa" w:w="6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0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8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3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3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4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4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8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89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r>
      <w:tr>
        <w:trPr>
          <w:trHeight w:val="980" w:hRule="atLeast"/>
        </w:trPr>
        <w:tc>
          <w:tcPr>
            <w:tcW w:type="dxa" w:w="6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0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8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23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23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4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24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28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89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r>
      <w:tr>
        <w:trPr>
          <w:trHeight w:val="980" w:hRule="atLeast"/>
        </w:trPr>
        <w:tc>
          <w:tcPr>
            <w:tcW w:type="dxa" w:w="6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0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8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3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3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4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4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8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89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r>
    </w:tbl>
    <w:p>
      <w:pPr>
        <w:spacing w:before="80" w:after="0" w:line="240" w:lineRule="auto"/>
      </w:pPr>
      <w:r>
        <w:rPr>
          <w:rFonts w:ascii="Calibri" w:hAnsi="Calibri"/>
          <w:b w:val="0"/>
          <w:i/>
          <w:color w:val="4A5565"/>
          <w:sz w:val="16"/>
        </w:rPr>
        <w:t>Examples of evidence: droppings, egg cases, gnaw marks, smear marks, larvae, repeated adult flies or a live sighting. Photographs may help, but do not capture customer data, payment screens or confidential staff records.</w:t>
      </w:r>
    </w:p>
    <w:p>
      <w:pPr>
        <w:sectPr>
          <w:headerReference w:type="default" r:id="rId9"/>
          <w:footerReference w:type="default" r:id="rId10"/>
          <w:pgSz w:w="16838" w:h="11906" w:orient="landscape"/>
          <w:pgMar w:top="539" w:right="624" w:bottom="539" w:left="624" w:header="283" w:footer="283" w:gutter="0"/>
          <w:cols w:space="720"/>
          <w:docGrid w:linePitch="360"/>
        </w:sectPr>
      </w:pPr>
    </w:p>
    <w:p>
      <w:pPr>
        <w:spacing w:before="0" w:after="40"/>
      </w:pPr>
      <w:r>
        <w:rPr>
          <w:rFonts w:ascii="Calibri" w:hAnsi="Calibri"/>
          <w:b/>
          <w:i w:val="0"/>
          <w:color w:val="24344C"/>
          <w:sz w:val="36"/>
        </w:rPr>
        <w:t>Corrective Action &amp; Closure Register</w:t>
      </w:r>
    </w:p>
    <w:p>
      <w:pPr>
        <w:spacing w:before="0" w:after="140"/>
      </w:pPr>
      <w:r>
        <w:rPr>
          <w:rFonts w:ascii="Calibri" w:hAnsi="Calibri"/>
          <w:b/>
          <w:i w:val="0"/>
          <w:color w:val="4A5565"/>
          <w:sz w:val="19"/>
        </w:rPr>
        <w:t>Continue each incident from page 1 using the same reference number</w:t>
      </w:r>
    </w:p>
    <w:p>
      <w:pPr>
        <w:spacing w:before="0" w:after="60" w:line="240" w:lineRule="auto"/>
      </w:pPr>
      <w:r>
        <w:rPr>
          <w:rFonts w:ascii="Calibri" w:hAnsi="Calibri"/>
          <w:b/>
          <w:i w:val="0"/>
          <w:color w:val="24344C"/>
          <w:sz w:val="17"/>
        </w:rPr>
        <w:t xml:space="preserve">Outlet / premises: </w:t>
      </w:r>
      <w:r>
        <w:rPr>
          <w:rFonts w:ascii="Calibri" w:hAnsi="Calibri"/>
          <w:b w:val="0"/>
          <w:i w:val="0"/>
          <w:color w:val="4A5565"/>
          <w:sz w:val="17"/>
        </w:rPr>
        <w:t>____________________________________________________________</w:t>
      </w:r>
      <w:r>
        <w:rPr>
          <w:rFonts w:ascii="Calibri" w:hAnsi="Calibri"/>
          <w:b w:val="0"/>
          <w:i w:val="0"/>
          <w:color w:val="1C2430"/>
          <w:sz w:val="17"/>
        </w:rPr>
        <w:t xml:space="preserve">     </w:t>
      </w:r>
      <w:r>
        <w:rPr>
          <w:rFonts w:ascii="Calibri" w:hAnsi="Calibri"/>
          <w:b/>
          <w:i w:val="0"/>
          <w:color w:val="24344C"/>
          <w:sz w:val="17"/>
        </w:rPr>
        <w:t xml:space="preserve">Reporting period: </w:t>
      </w:r>
      <w:r>
        <w:rPr>
          <w:rFonts w:ascii="Calibri" w:hAnsi="Calibri"/>
          <w:b w:val="0"/>
          <w:i w:val="0"/>
          <w:color w:val="4A5565"/>
          <w:sz w:val="17"/>
        </w:rPr>
        <w:t>___________________________</w:t>
      </w:r>
    </w:p>
    <w:p>
      <w:pPr>
        <w:spacing w:before="0" w:after="60" w:line="240" w:lineRule="auto"/>
      </w:pPr>
      <w:r>
        <w:rPr>
          <w:rFonts w:ascii="Calibri" w:hAnsi="Calibri"/>
          <w:b/>
          <w:i w:val="0"/>
          <w:color w:val="24344C"/>
          <w:sz w:val="17"/>
        </w:rPr>
        <w:t xml:space="preserve">Address / unit: </w:t>
      </w:r>
      <w:r>
        <w:rPr>
          <w:rFonts w:ascii="Calibri" w:hAnsi="Calibri"/>
          <w:b w:val="0"/>
          <w:i w:val="0"/>
          <w:color w:val="4A5565"/>
          <w:sz w:val="17"/>
        </w:rPr>
        <w:t>________________________________________________________________</w:t>
      </w:r>
      <w:r>
        <w:rPr>
          <w:rFonts w:ascii="Calibri" w:hAnsi="Calibri"/>
          <w:b w:val="0"/>
          <w:i w:val="0"/>
          <w:color w:val="1C2430"/>
          <w:sz w:val="17"/>
        </w:rPr>
        <w:t xml:space="preserve">     </w:t>
      </w:r>
      <w:r>
        <w:rPr>
          <w:rFonts w:ascii="Calibri" w:hAnsi="Calibri"/>
          <w:b/>
          <w:i w:val="0"/>
          <w:color w:val="24344C"/>
          <w:sz w:val="17"/>
        </w:rPr>
        <w:t xml:space="preserve">Log owner / reviewer: </w:t>
      </w:r>
      <w:r>
        <w:rPr>
          <w:rFonts w:ascii="Calibri" w:hAnsi="Calibri"/>
          <w:b w:val="0"/>
          <w:i w:val="0"/>
          <w:color w:val="4A5565"/>
          <w:sz w:val="17"/>
        </w:rPr>
        <w:t>________________________</w:t>
      </w:r>
    </w:p>
    <w:p>
      <w:pPr>
        <w:shd w:fill="F5F7FA"/>
        <w:spacing w:before="60" w:after="60" w:line="240" w:lineRule="auto"/>
        <w:ind w:left="120" w:right="120"/>
      </w:pPr>
      <w:r>
        <w:rPr>
          <w:rFonts w:ascii="Calibri" w:hAnsi="Calibri"/>
          <w:b w:val="0"/>
          <w:i w:val="0"/>
          <w:color w:val="4A5565"/>
          <w:sz w:val="17"/>
        </w:rPr>
        <w:t>Record the provider or manager response, assign each sanitation, repair, proofing, storage or treatment follow-up, and close the item only after completion has been checked. Compare recurring hotspots with the pest-control service report.</w:t>
      </w:r>
    </w:p>
    <w:p>
      <w:pPr>
        <w:spacing w:before="100" w:after="80" w:line="240" w:lineRule="auto"/>
      </w:pPr>
      <w:r>
        <w:rPr>
          <w:rFonts w:ascii="Calibri" w:hAnsi="Calibri"/>
          <w:b w:val="0"/>
          <w:i/>
          <w:color w:val="4A5565"/>
          <w:sz w:val="16"/>
        </w:rPr>
        <w:t>PAGE 2 - FOLLOW-UP, VERIFICATION AND CLOSURE</w:t>
      </w:r>
    </w:p>
    <w:tbl>
      <w:tblPr>
        <w:tblStyle w:val="TableGrid"/>
        <w:tblW w:type="dxa" w:w="15590"/>
        <w:jc w:val="left"/>
        <w:tblLayout w:type="fixed"/>
        <w:tblLook w:firstColumn="1" w:firstRow="1" w:lastColumn="0" w:lastRow="0" w:noHBand="0" w:noVBand="1" w:val="04A0"/>
        <w:tblInd w:w="0" w:type="dxa"/>
      </w:tblPr>
      <w:tblGrid>
        <w:gridCol w:w="650"/>
        <w:gridCol w:w="2750"/>
        <w:gridCol w:w="3000"/>
        <w:gridCol w:w="1450"/>
        <w:gridCol w:w="1100"/>
        <w:gridCol w:w="1250"/>
        <w:gridCol w:w="1900"/>
        <w:gridCol w:w="1050"/>
        <w:gridCol w:w="2440"/>
      </w:tblGrid>
      <w:tr>
        <w:trPr>
          <w:trHeight w:val="600" w:hRule="atLeast"/>
          <w:tblHeader w:val="true"/>
        </w:trPr>
        <w:tc>
          <w:tcPr>
            <w:tcW w:type="dxa" w:w="65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Ref</w:t>
            </w:r>
          </w:p>
        </w:tc>
        <w:tc>
          <w:tcPr>
            <w:tcW w:type="dxa" w:w="275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Provider / manager response and date</w:t>
            </w:r>
          </w:p>
        </w:tc>
        <w:tc>
          <w:tcPr>
            <w:tcW w:type="dxa" w:w="300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Corrective action required</w:t>
            </w:r>
          </w:p>
        </w:tc>
        <w:tc>
          <w:tcPr>
            <w:tcW w:type="dxa" w:w="145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Owner</w:t>
            </w:r>
          </w:p>
        </w:tc>
        <w:tc>
          <w:tcPr>
            <w:tcW w:type="dxa" w:w="110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Due date</w:t>
            </w:r>
          </w:p>
        </w:tc>
        <w:tc>
          <w:tcPr>
            <w:tcW w:type="dxa" w:w="125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Completed date</w:t>
            </w:r>
          </w:p>
        </w:tc>
        <w:tc>
          <w:tcPr>
            <w:tcW w:type="dxa" w:w="190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Verified by / date</w:t>
            </w:r>
          </w:p>
        </w:tc>
        <w:tc>
          <w:tcPr>
            <w:tcW w:type="dxa" w:w="105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Closed? Y/N</w:t>
            </w:r>
          </w:p>
        </w:tc>
        <w:tc>
          <w:tcPr>
            <w:tcW w:type="dxa" w:w="2440"/>
            <w:vAlign w:val="center"/>
            <w:shd w:fill="24344C"/>
            <w:tcMar>
              <w:top w:w="75" w:type="dxa"/>
              <w:start w:w="65" w:type="dxa"/>
              <w:bottom w:w="75" w:type="dxa"/>
              <w:end w:w="65" w:type="dxa"/>
            </w:tcMar>
          </w:tcPr>
          <w:p>
            <w:pPr>
              <w:spacing w:before="0" w:after="0" w:line="240" w:lineRule="auto"/>
              <w:jc w:val="center"/>
            </w:pPr>
            <w:r>
              <w:rPr>
                <w:rFonts w:ascii="Calibri" w:hAnsi="Calibri"/>
                <w:b/>
                <w:i w:val="0"/>
                <w:color w:val="FFFFFF"/>
                <w:sz w:val="15"/>
              </w:rPr>
              <w:t>Photo / service-report ref</w:t>
            </w:r>
          </w:p>
        </w:tc>
      </w:tr>
      <w:tr>
        <w:trPr>
          <w:trHeight w:val="940" w:hRule="atLeast"/>
        </w:trPr>
        <w:tc>
          <w:tcPr>
            <w:tcW w:type="dxa" w:w="6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7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30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4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1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2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9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0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44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r>
      <w:tr>
        <w:trPr>
          <w:trHeight w:val="940" w:hRule="atLeast"/>
        </w:trPr>
        <w:tc>
          <w:tcPr>
            <w:tcW w:type="dxa" w:w="6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27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30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4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1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2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9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0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244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r>
      <w:tr>
        <w:trPr>
          <w:trHeight w:val="940" w:hRule="atLeast"/>
        </w:trPr>
        <w:tc>
          <w:tcPr>
            <w:tcW w:type="dxa" w:w="6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7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30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4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1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2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9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0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44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r>
      <w:tr>
        <w:trPr>
          <w:trHeight w:val="940" w:hRule="atLeast"/>
        </w:trPr>
        <w:tc>
          <w:tcPr>
            <w:tcW w:type="dxa" w:w="6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27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30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4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1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2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90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105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c>
          <w:tcPr>
            <w:tcW w:type="dxa" w:w="2440"/>
            <w:vAlign w:val="center"/>
            <w:tcMar>
              <w:top w:w="65" w:type="dxa"/>
              <w:start w:w="55" w:type="dxa"/>
              <w:bottom w:w="65" w:type="dxa"/>
              <w:end w:w="55" w:type="dxa"/>
            </w:tcMar>
            <w:shd w:fill="FAFBFC"/>
          </w:tcPr>
          <w:p>
            <w:pPr>
              <w:spacing w:before="0" w:after="0" w:line="240" w:lineRule="auto"/>
            </w:pPr>
            <w:r>
              <w:rPr>
                <w:rFonts w:ascii="Calibri" w:hAnsi="Calibri"/>
                <w:b w:val="0"/>
                <w:i w:val="0"/>
                <w:color w:val="1C2430"/>
                <w:sz w:val="16"/>
              </w:rPr>
              <w:t xml:space="preserve"> </w:t>
            </w:r>
          </w:p>
        </w:tc>
      </w:tr>
      <w:tr>
        <w:trPr>
          <w:trHeight w:val="940" w:hRule="atLeast"/>
        </w:trPr>
        <w:tc>
          <w:tcPr>
            <w:tcW w:type="dxa" w:w="6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7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30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4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1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2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90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105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c>
          <w:tcPr>
            <w:tcW w:type="dxa" w:w="2440"/>
            <w:vAlign w:val="center"/>
            <w:tcMar>
              <w:top w:w="65" w:type="dxa"/>
              <w:start w:w="55" w:type="dxa"/>
              <w:bottom w:w="65" w:type="dxa"/>
              <w:end w:w="55" w:type="dxa"/>
            </w:tcMar>
          </w:tcPr>
          <w:p>
            <w:pPr>
              <w:spacing w:before="0" w:after="0" w:line="240" w:lineRule="auto"/>
            </w:pPr>
            <w:r>
              <w:rPr>
                <w:rFonts w:ascii="Calibri" w:hAnsi="Calibri"/>
                <w:b w:val="0"/>
                <w:i w:val="0"/>
                <w:color w:val="1C2430"/>
                <w:sz w:val="16"/>
              </w:rPr>
              <w:t xml:space="preserve"> </w:t>
            </w:r>
          </w:p>
        </w:tc>
      </w:tr>
    </w:tbl>
    <w:p>
      <w:pPr>
        <w:spacing w:before="100" w:after="60"/>
      </w:pPr>
      <w:r>
        <w:rPr>
          <w:rFonts w:ascii="Calibri" w:hAnsi="Calibri"/>
          <w:b/>
          <w:i w:val="0"/>
          <w:color w:val="24344C"/>
          <w:sz w:val="17"/>
        </w:rPr>
        <w:t xml:space="preserve">Manager review: </w:t>
      </w:r>
      <w:r>
        <w:rPr>
          <w:rFonts w:ascii="Calibri" w:hAnsi="Calibri"/>
          <w:b/>
          <w:i w:val="0"/>
          <w:color w:val="24344C"/>
          <w:sz w:val="18"/>
        </w:rPr>
        <w:t xml:space="preserve">[ ] </w:t>
      </w:r>
      <w:r>
        <w:rPr>
          <w:rFonts w:ascii="Calibri" w:hAnsi="Calibri"/>
          <w:b w:val="0"/>
          <w:i w:val="0"/>
          <w:color w:val="1C2430"/>
          <w:sz w:val="17"/>
        </w:rPr>
        <w:t>Repeated hotspot checked</w:t>
      </w:r>
      <w:r>
        <w:rPr>
          <w:rFonts w:ascii="Calibri" w:hAnsi="Calibri"/>
          <w:b w:val="0"/>
          <w:i w:val="0"/>
          <w:color w:val="1C2430"/>
          <w:sz w:val="17"/>
        </w:rPr>
        <w:t xml:space="preserve">     </w:t>
      </w:r>
      <w:r>
        <w:rPr>
          <w:rFonts w:ascii="Calibri" w:hAnsi="Calibri"/>
          <w:b/>
          <w:i w:val="0"/>
          <w:color w:val="24344C"/>
          <w:sz w:val="18"/>
        </w:rPr>
        <w:t xml:space="preserve">[ ] </w:t>
      </w:r>
      <w:r>
        <w:rPr>
          <w:rFonts w:ascii="Calibri" w:hAnsi="Calibri"/>
          <w:b w:val="0"/>
          <w:i w:val="0"/>
          <w:color w:val="1C2430"/>
          <w:sz w:val="17"/>
        </w:rPr>
        <w:t>Overdue actions escalated</w:t>
      </w:r>
      <w:r>
        <w:rPr>
          <w:rFonts w:ascii="Calibri" w:hAnsi="Calibri"/>
          <w:b w:val="0"/>
          <w:i w:val="0"/>
          <w:color w:val="1C2430"/>
          <w:sz w:val="17"/>
        </w:rPr>
        <w:t xml:space="preserve">     </w:t>
      </w:r>
      <w:r>
        <w:rPr>
          <w:rFonts w:ascii="Calibri" w:hAnsi="Calibri"/>
          <w:b/>
          <w:i w:val="0"/>
          <w:color w:val="24344C"/>
          <w:sz w:val="18"/>
        </w:rPr>
        <w:t xml:space="preserve">[ ] </w:t>
      </w:r>
      <w:r>
        <w:rPr>
          <w:rFonts w:ascii="Calibri" w:hAnsi="Calibri"/>
          <w:b w:val="0"/>
          <w:i w:val="0"/>
          <w:color w:val="1C2430"/>
          <w:sz w:val="17"/>
        </w:rPr>
        <w:t>Service report reconciled</w:t>
      </w:r>
    </w:p>
    <w:p>
      <w:pPr>
        <w:spacing w:before="0" w:after="60"/>
      </w:pPr>
      <w:r>
        <w:rPr>
          <w:rFonts w:ascii="Calibri" w:hAnsi="Calibri"/>
          <w:b w:val="0"/>
          <w:i w:val="0"/>
          <w:color w:val="1C2430"/>
          <w:sz w:val="17"/>
        </w:rPr>
        <w:t>Reviewed by: ____________________________________    Date: ____________________    Next review: ____________________</w:t>
      </w:r>
    </w:p>
    <w:p>
      <w:pPr>
        <w:spacing w:before="40" w:after="0" w:line="240" w:lineRule="auto"/>
      </w:pPr>
      <w:r>
        <w:rPr>
          <w:rFonts w:ascii="Calibri" w:hAnsi="Calibri"/>
          <w:b w:val="0"/>
          <w:i/>
          <w:color w:val="4A5565"/>
          <w:sz w:val="16"/>
        </w:rPr>
        <w:t>Important: This template supports internal recordkeeping. It does not replace licence conditions, a site-specific risk assessment, professional vector-control advice or current instructions from Singapore authorities. Using it does not guarantee an inspection result or that pest activity will not occur.</w:t>
      </w:r>
    </w:p>
    <w:sectPr w:rsidR="00FC693F" w:rsidRPr="0006063C" w:rsidSect="00034616">
      <w:pgSz w:w="16838" w:h="11906" w:orient="landscape"/>
      <w:pgMar w:top="539" w:right="624" w:bottom="539" w:left="624"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Calibri" w:hAnsi="Calibri"/>
        <w:b w:val="0"/>
        <w:i w:val="0"/>
        <w:color w:val="4A5565"/>
        <w:sz w:val="15"/>
      </w:rPr>
      <w:t xml:space="preserve">KleanSG | NEA-registered VCO VCO20220007 | kleansg.com | +65 8032 6112   |   Page </w:t>
    </w:r>
    <w:r>
      <w:fldChar w:fldCharType="begin"/>
      <w:instrText xml:space="preserve">PAGE</w:instrText>
      <w:fldChar w:fldCharType="separate"/>
      <w:t>1</w:t>
      <w:fldChar w:fldCharType="end"/>
    </w:r>
    <w:r>
      <w:rPr>
        <w:rFonts w:ascii="Calibri" w:hAnsi="Calibri"/>
        <w:b w:val="0"/>
        <w:i w:val="0"/>
        <w:color w:val="4A5565"/>
        <w:sz w:val="15"/>
      </w:rPr>
      <w:t xml:space="preserve"> of </w:t>
    </w:r>
    <w: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Calibri" w:hAnsi="Calibri"/>
        <w:b/>
        <w:i w:val="0"/>
        <w:color w:val="4A5565"/>
        <w:sz w:val="16"/>
      </w:rPr>
      <w:t>KleanSG | Operations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40" w:lineRule="auto"/>
    </w:pPr>
    <w:rPr>
      <w:rFonts w:ascii="Calibri" w:hAnsi="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KleanSG F&amp;B Pest Sighting Log Template</dc:title>
  <dc:subject>Editable pest-sighting and corrective-action log for Singapore food premises</dc:subject>
  <dc:creator>KleanSG</dc:creator>
  <cp:keywords>F&amp;B pest sighting log, Singapore food premises, corrective action log, KleanSG</cp:keywords>
  <dc:description>Public operational resource. No client information included.</dc:description>
  <cp:lastModifiedBy/>
  <cp:revision>1</cp:revision>
  <dcterms:created xsi:type="dcterms:W3CDTF">2013-12-23T23:15:00Z</dcterms:created>
  <dcterms:modified xsi:type="dcterms:W3CDTF">2013-12-23T23:15:00Z</dcterms:modified>
  <cp:category/>
</cp:coreProperties>
</file>